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7E155" w14:textId="77777777" w:rsidR="00B070FB" w:rsidRDefault="0034034A">
      <w:pPr>
        <w:spacing w:after="79" w:line="259" w:lineRule="auto"/>
        <w:ind w:left="0" w:firstLine="0"/>
      </w:pPr>
      <w:r>
        <w:rPr>
          <w:rFonts w:ascii="Arial" w:eastAsia="Arial" w:hAnsi="Arial" w:cs="Arial"/>
        </w:rPr>
        <w:t xml:space="preserve">OFFICIAL </w:t>
      </w:r>
    </w:p>
    <w:p w14:paraId="30EC6F5E" w14:textId="77777777" w:rsidR="00B070FB" w:rsidRDefault="0034034A">
      <w:pPr>
        <w:spacing w:after="176" w:line="259" w:lineRule="auto"/>
        <w:ind w:left="1035" w:firstLine="0"/>
      </w:pPr>
      <w:r>
        <w:t xml:space="preserve"> </w:t>
      </w:r>
    </w:p>
    <w:p w14:paraId="79793BCB" w14:textId="77777777" w:rsidR="00B070FB" w:rsidRDefault="0034034A">
      <w:pPr>
        <w:spacing w:line="259" w:lineRule="auto"/>
        <w:ind w:left="7784" w:right="-926" w:firstLine="0"/>
      </w:pPr>
      <w:r>
        <w:rPr>
          <w:noProof/>
        </w:rPr>
        <w:drawing>
          <wp:inline distT="0" distB="0" distL="0" distR="0" wp14:anchorId="3248C913" wp14:editId="2D56B39F">
            <wp:extent cx="2030476" cy="782320"/>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7"/>
                    <a:stretch>
                      <a:fillRect/>
                    </a:stretch>
                  </pic:blipFill>
                  <pic:spPr>
                    <a:xfrm>
                      <a:off x="0" y="0"/>
                      <a:ext cx="2030476" cy="782320"/>
                    </a:xfrm>
                    <a:prstGeom prst="rect">
                      <a:avLst/>
                    </a:prstGeom>
                  </pic:spPr>
                </pic:pic>
              </a:graphicData>
            </a:graphic>
          </wp:inline>
        </w:drawing>
      </w:r>
    </w:p>
    <w:p w14:paraId="3AF7C1FF" w14:textId="77777777" w:rsidR="00B070FB" w:rsidRDefault="0034034A">
      <w:pPr>
        <w:spacing w:line="259" w:lineRule="auto"/>
        <w:ind w:left="1035" w:firstLine="0"/>
      </w:pPr>
      <w:r>
        <w:rPr>
          <w:b/>
        </w:rPr>
        <w:t xml:space="preserve"> </w:t>
      </w:r>
    </w:p>
    <w:p w14:paraId="4DDA392A" w14:textId="77777777" w:rsidR="00B070FB" w:rsidRDefault="0034034A">
      <w:pPr>
        <w:spacing w:line="259" w:lineRule="auto"/>
        <w:ind w:left="1035" w:firstLine="0"/>
      </w:pPr>
      <w:r>
        <w:rPr>
          <w:b/>
          <w:color w:val="7030A0"/>
        </w:rPr>
        <w:t xml:space="preserve">ALACE Membership Terms </w:t>
      </w:r>
      <w:r>
        <w:rPr>
          <w:i/>
        </w:rPr>
        <w:t xml:space="preserve"> </w:t>
      </w:r>
    </w:p>
    <w:p w14:paraId="47CFDED1" w14:textId="77777777" w:rsidR="00B070FB" w:rsidRDefault="0034034A">
      <w:pPr>
        <w:spacing w:after="25" w:line="259" w:lineRule="auto"/>
        <w:ind w:left="1035" w:firstLine="0"/>
      </w:pPr>
      <w:r>
        <w:t xml:space="preserve"> </w:t>
      </w:r>
    </w:p>
    <w:p w14:paraId="0CA3DA9C" w14:textId="77777777" w:rsidR="00B070FB" w:rsidRDefault="0034034A">
      <w:pPr>
        <w:numPr>
          <w:ilvl w:val="0"/>
          <w:numId w:val="1"/>
        </w:numPr>
        <w:ind w:hanging="360"/>
      </w:pPr>
      <w:r>
        <w:t xml:space="preserve">Membership fees are non-refundable. </w:t>
      </w:r>
    </w:p>
    <w:p w14:paraId="503F39BF" w14:textId="77777777" w:rsidR="0034034A" w:rsidRDefault="0034034A" w:rsidP="0034034A">
      <w:pPr>
        <w:ind w:left="1380" w:firstLine="0"/>
      </w:pPr>
    </w:p>
    <w:p w14:paraId="7FF767F8" w14:textId="10556DFF" w:rsidR="0034034A" w:rsidRPr="000221B9" w:rsidRDefault="0034034A">
      <w:pPr>
        <w:numPr>
          <w:ilvl w:val="0"/>
          <w:numId w:val="1"/>
        </w:numPr>
        <w:ind w:hanging="360"/>
      </w:pPr>
      <w:r w:rsidRPr="000221B9">
        <w:t>For members paying by monthly instalments - if members leave ALACE part way through the year, the full annual subscription becomes immediately due and the balance payable will be taken immediately.</w:t>
      </w:r>
    </w:p>
    <w:p w14:paraId="05064E9E" w14:textId="77777777" w:rsidR="00B070FB" w:rsidRDefault="0034034A">
      <w:pPr>
        <w:spacing w:after="25" w:line="259" w:lineRule="auto"/>
        <w:ind w:left="1035" w:firstLine="0"/>
      </w:pPr>
      <w:r>
        <w:t xml:space="preserve"> </w:t>
      </w:r>
    </w:p>
    <w:p w14:paraId="17A63A54" w14:textId="4A7B9A34" w:rsidR="0034034A" w:rsidRPr="00EC4146" w:rsidRDefault="0034034A" w:rsidP="0034034A">
      <w:pPr>
        <w:numPr>
          <w:ilvl w:val="0"/>
          <w:numId w:val="1"/>
        </w:numPr>
        <w:ind w:hanging="360"/>
      </w:pPr>
      <w:r>
        <w:t xml:space="preserve">The membership fee paid on joining entitles new members to a limited amount of </w:t>
      </w:r>
      <w:r w:rsidRPr="000221B9">
        <w:t>4 hours free non-pension consultancy support in the first 12 months of membership.</w:t>
      </w:r>
      <w:r w:rsidRPr="00EC4146">
        <w:rPr>
          <w:b/>
        </w:rPr>
        <w:t xml:space="preserve"> </w:t>
      </w:r>
    </w:p>
    <w:p w14:paraId="75A574B9" w14:textId="77777777" w:rsidR="00EC4146" w:rsidRDefault="00EC4146" w:rsidP="00EC4146">
      <w:pPr>
        <w:pStyle w:val="ListParagraph"/>
      </w:pPr>
    </w:p>
    <w:p w14:paraId="008F61C4" w14:textId="43B6E27F" w:rsidR="0034034A" w:rsidRPr="000221B9" w:rsidRDefault="0034034A">
      <w:pPr>
        <w:numPr>
          <w:ilvl w:val="0"/>
          <w:numId w:val="1"/>
        </w:numPr>
        <w:ind w:hanging="360"/>
      </w:pPr>
      <w:r w:rsidRPr="000221B9">
        <w:t>Members paying by monthly instalment will be asked to pay the full annual membership fee before being eligible to access any support. This applies to all years during which you pay the subscription monthly.</w:t>
      </w:r>
    </w:p>
    <w:p w14:paraId="2AFA6C5B" w14:textId="77777777" w:rsidR="00B070FB" w:rsidRDefault="0034034A">
      <w:pPr>
        <w:spacing w:after="26" w:line="259" w:lineRule="auto"/>
        <w:ind w:left="1035" w:firstLine="0"/>
      </w:pPr>
      <w:r>
        <w:rPr>
          <w:b/>
        </w:rPr>
        <w:t xml:space="preserve"> </w:t>
      </w:r>
    </w:p>
    <w:p w14:paraId="641BB141" w14:textId="17318827" w:rsidR="00B070FB" w:rsidRDefault="0034034A">
      <w:pPr>
        <w:numPr>
          <w:ilvl w:val="0"/>
          <w:numId w:val="1"/>
        </w:numPr>
        <w:ind w:hanging="360"/>
      </w:pPr>
      <w:r>
        <w:t>Members</w:t>
      </w:r>
      <w:r>
        <w:rPr>
          <w:b/>
        </w:rPr>
        <w:t xml:space="preserve"> </w:t>
      </w:r>
      <w:r>
        <w:t xml:space="preserve">need to pay </w:t>
      </w:r>
      <w:r w:rsidRPr="000221B9">
        <w:t>£10</w:t>
      </w:r>
      <w:r w:rsidR="00EC4146">
        <w:t>5</w:t>
      </w:r>
      <w:r>
        <w:t xml:space="preserve"> per hour for consultancy support – if required – </w:t>
      </w:r>
      <w:proofErr w:type="gramStart"/>
      <w:r>
        <w:t>in excess of</w:t>
      </w:r>
      <w:proofErr w:type="gramEnd"/>
      <w:r>
        <w:t xml:space="preserve"> the free allocation, together with any reasonable expenses incurred by an ALACE consultant in providing such additional support.  </w:t>
      </w:r>
    </w:p>
    <w:p w14:paraId="156BEE6C" w14:textId="77777777" w:rsidR="00B070FB" w:rsidRDefault="0034034A">
      <w:pPr>
        <w:spacing w:after="25" w:line="259" w:lineRule="auto"/>
        <w:ind w:left="1035" w:firstLine="0"/>
      </w:pPr>
      <w:r>
        <w:t xml:space="preserve"> </w:t>
      </w:r>
    </w:p>
    <w:p w14:paraId="7E04FCD5" w14:textId="705FB7A8" w:rsidR="00B070FB" w:rsidRDefault="0034034A">
      <w:pPr>
        <w:numPr>
          <w:ilvl w:val="0"/>
          <w:numId w:val="1"/>
        </w:numPr>
        <w:ind w:hanging="360"/>
      </w:pPr>
      <w:r>
        <w:t xml:space="preserve">There is no free consultancy support for matters relating to pensions. This will be </w:t>
      </w:r>
      <w:proofErr w:type="gramStart"/>
      <w:r>
        <w:t>charged for at all times</w:t>
      </w:r>
      <w:proofErr w:type="gramEnd"/>
      <w:r>
        <w:t xml:space="preserve"> at the rate agreed by the ALACE Council (currently £</w:t>
      </w:r>
      <w:r w:rsidR="003A7D56">
        <w:t>10</w:t>
      </w:r>
      <w:r w:rsidR="00EC4146">
        <w:t>5</w:t>
      </w:r>
      <w:r>
        <w:t xml:space="preserve"> per hour). </w:t>
      </w:r>
    </w:p>
    <w:p w14:paraId="2064617B" w14:textId="77777777" w:rsidR="00B070FB" w:rsidRDefault="0034034A">
      <w:pPr>
        <w:spacing w:after="25" w:line="259" w:lineRule="auto"/>
        <w:ind w:left="1035" w:firstLine="0"/>
      </w:pPr>
      <w:r>
        <w:t xml:space="preserve"> </w:t>
      </w:r>
    </w:p>
    <w:p w14:paraId="45FC66F4" w14:textId="77777777" w:rsidR="00B070FB" w:rsidRDefault="0034034A">
      <w:pPr>
        <w:numPr>
          <w:ilvl w:val="0"/>
          <w:numId w:val="1"/>
        </w:numPr>
        <w:ind w:hanging="360"/>
      </w:pPr>
      <w:r>
        <w:t xml:space="preserve">If additional consultancy support is accessed which requires payment, the </w:t>
      </w:r>
    </w:p>
    <w:p w14:paraId="7F066C1D" w14:textId="77777777" w:rsidR="00B070FB" w:rsidRDefault="0034034A">
      <w:pPr>
        <w:ind w:left="1755" w:firstLine="0"/>
      </w:pPr>
      <w:r>
        <w:t xml:space="preserve">Association will recover payment through whatever means of payment was set up on joining. Information will be sent to the member to confirm the basis of any such payments beforehand. </w:t>
      </w:r>
    </w:p>
    <w:p w14:paraId="346E8DB2" w14:textId="77777777" w:rsidR="00B070FB" w:rsidRDefault="0034034A">
      <w:pPr>
        <w:spacing w:after="26" w:line="259" w:lineRule="auto"/>
        <w:ind w:left="1755" w:firstLine="0"/>
      </w:pPr>
      <w:r>
        <w:t xml:space="preserve"> </w:t>
      </w:r>
    </w:p>
    <w:p w14:paraId="103EB491" w14:textId="77777777" w:rsidR="00B070FB" w:rsidRDefault="0034034A">
      <w:pPr>
        <w:numPr>
          <w:ilvl w:val="0"/>
          <w:numId w:val="1"/>
        </w:numPr>
        <w:ind w:hanging="360"/>
      </w:pPr>
      <w:r>
        <w:t xml:space="preserve">All personal information gathered by ALACE will be stored securely and not passed on to any third party.  </w:t>
      </w:r>
    </w:p>
    <w:p w14:paraId="50A1DC6A" w14:textId="77777777" w:rsidR="00B070FB" w:rsidRDefault="0034034A">
      <w:pPr>
        <w:spacing w:after="26" w:line="259" w:lineRule="auto"/>
        <w:ind w:left="1755" w:firstLine="0"/>
      </w:pPr>
      <w:r>
        <w:t xml:space="preserve"> </w:t>
      </w:r>
    </w:p>
    <w:p w14:paraId="1C7792D5" w14:textId="0D282962" w:rsidR="00B070FB" w:rsidRDefault="0034034A" w:rsidP="0034034A">
      <w:pPr>
        <w:numPr>
          <w:ilvl w:val="0"/>
          <w:numId w:val="1"/>
        </w:numPr>
        <w:ind w:hanging="360"/>
      </w:pPr>
      <w:r>
        <w:t xml:space="preserve">ALACE will only use your contact information in relation to your membership of the Association </w:t>
      </w:r>
    </w:p>
    <w:sectPr w:rsidR="00B070FB">
      <w:headerReference w:type="even" r:id="rId8"/>
      <w:headerReference w:type="default" r:id="rId9"/>
      <w:headerReference w:type="first" r:id="rId10"/>
      <w:pgSz w:w="11906" w:h="16838"/>
      <w:pgMar w:top="1440" w:right="1445" w:bottom="1440" w:left="4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3D3C8" w14:textId="77777777" w:rsidR="0034034A" w:rsidRDefault="0034034A" w:rsidP="0034034A">
      <w:pPr>
        <w:spacing w:line="240" w:lineRule="auto"/>
      </w:pPr>
      <w:r>
        <w:separator/>
      </w:r>
    </w:p>
  </w:endnote>
  <w:endnote w:type="continuationSeparator" w:id="0">
    <w:p w14:paraId="4CC0C208" w14:textId="77777777" w:rsidR="0034034A" w:rsidRDefault="0034034A" w:rsidP="003403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B013D" w14:textId="77777777" w:rsidR="0034034A" w:rsidRDefault="0034034A" w:rsidP="0034034A">
      <w:pPr>
        <w:spacing w:line="240" w:lineRule="auto"/>
      </w:pPr>
      <w:r>
        <w:separator/>
      </w:r>
    </w:p>
  </w:footnote>
  <w:footnote w:type="continuationSeparator" w:id="0">
    <w:p w14:paraId="272E4282" w14:textId="77777777" w:rsidR="0034034A" w:rsidRDefault="0034034A" w:rsidP="003403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92A62" w14:textId="3823ACEE" w:rsidR="0034034A" w:rsidRDefault="0034034A">
    <w:pPr>
      <w:pStyle w:val="Header"/>
    </w:pPr>
    <w:r>
      <w:rPr>
        <w:noProof/>
      </w:rPr>
      <mc:AlternateContent>
        <mc:Choice Requires="wps">
          <w:drawing>
            <wp:anchor distT="0" distB="0" distL="0" distR="0" simplePos="0" relativeHeight="251659264" behindDoc="0" locked="0" layoutInCell="1" allowOverlap="1" wp14:anchorId="4BADEA45" wp14:editId="450A499D">
              <wp:simplePos x="635" y="635"/>
              <wp:positionH relativeFrom="page">
                <wp:align>left</wp:align>
              </wp:positionH>
              <wp:positionV relativeFrom="page">
                <wp:align>top</wp:align>
              </wp:positionV>
              <wp:extent cx="443865" cy="443865"/>
              <wp:effectExtent l="0" t="0" r="2540" b="8890"/>
              <wp:wrapNone/>
              <wp:docPr id="1233952148"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A2497D" w14:textId="36EA3214" w:rsidR="0034034A" w:rsidRPr="0034034A" w:rsidRDefault="0034034A" w:rsidP="0034034A">
                          <w:pPr>
                            <w:rPr>
                              <w:rFonts w:ascii="Arial" w:eastAsia="Arial" w:hAnsi="Arial" w:cs="Arial"/>
                              <w:noProof/>
                              <w:szCs w:val="24"/>
                            </w:rPr>
                          </w:pPr>
                          <w:r w:rsidRPr="0034034A">
                            <w:rPr>
                              <w:rFonts w:ascii="Arial" w:eastAsia="Arial" w:hAnsi="Arial" w:cs="Arial"/>
                              <w:noProof/>
                              <w:szCs w:val="24"/>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ADEA45" id="_x0000_t202" coordsize="21600,21600" o:spt="202" path="m,l,21600r21600,l21600,xe">
              <v:stroke joinstyle="miter"/>
              <v:path gradientshapeok="t" o:connecttype="rect"/>
            </v:shapetype>
            <v:shape id="Text Box 2" o:spid="_x0000_s1026" type="#_x0000_t202" alt="OFFICIAL:SENSITIVE"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52A2497D" w14:textId="36EA3214" w:rsidR="0034034A" w:rsidRPr="0034034A" w:rsidRDefault="0034034A" w:rsidP="0034034A">
                    <w:pPr>
                      <w:rPr>
                        <w:rFonts w:ascii="Arial" w:eastAsia="Arial" w:hAnsi="Arial" w:cs="Arial"/>
                        <w:noProof/>
                        <w:szCs w:val="24"/>
                      </w:rPr>
                    </w:pPr>
                    <w:r w:rsidRPr="0034034A">
                      <w:rPr>
                        <w:rFonts w:ascii="Arial" w:eastAsia="Arial" w:hAnsi="Arial" w:cs="Arial"/>
                        <w:noProof/>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29AA0" w14:textId="2110BA63" w:rsidR="0034034A" w:rsidRDefault="0034034A">
    <w:pPr>
      <w:pStyle w:val="Header"/>
    </w:pPr>
    <w:r>
      <w:rPr>
        <w:noProof/>
      </w:rPr>
      <mc:AlternateContent>
        <mc:Choice Requires="wps">
          <w:drawing>
            <wp:anchor distT="0" distB="0" distL="0" distR="0" simplePos="0" relativeHeight="251660288" behindDoc="0" locked="0" layoutInCell="1" allowOverlap="1" wp14:anchorId="19CB251C" wp14:editId="15968059">
              <wp:simplePos x="260350" y="457200"/>
              <wp:positionH relativeFrom="page">
                <wp:align>left</wp:align>
              </wp:positionH>
              <wp:positionV relativeFrom="page">
                <wp:align>top</wp:align>
              </wp:positionV>
              <wp:extent cx="443865" cy="443865"/>
              <wp:effectExtent l="0" t="0" r="2540" b="8890"/>
              <wp:wrapNone/>
              <wp:docPr id="558562813"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2C76F7" w14:textId="73CA3FFF" w:rsidR="0034034A" w:rsidRPr="0034034A" w:rsidRDefault="0034034A" w:rsidP="0034034A">
                          <w:pPr>
                            <w:rPr>
                              <w:rFonts w:ascii="Arial" w:eastAsia="Arial" w:hAnsi="Arial" w:cs="Arial"/>
                              <w:noProof/>
                              <w:szCs w:val="24"/>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CB251C" id="_x0000_t202" coordsize="21600,21600" o:spt="202" path="m,l,21600r21600,l21600,xe">
              <v:stroke joinstyle="miter"/>
              <v:path gradientshapeok="t" o:connecttype="rect"/>
            </v:shapetype>
            <v:shape id="Text Box 3" o:spid="_x0000_s1027" type="#_x0000_t202" alt="OFFICIAL:SENSITIVE"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182C76F7" w14:textId="73CA3FFF" w:rsidR="0034034A" w:rsidRPr="0034034A" w:rsidRDefault="0034034A" w:rsidP="0034034A">
                    <w:pPr>
                      <w:rPr>
                        <w:rFonts w:ascii="Arial" w:eastAsia="Arial" w:hAnsi="Arial" w:cs="Arial"/>
                        <w:noProof/>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2E60B" w14:textId="0900E034" w:rsidR="0034034A" w:rsidRDefault="0034034A">
    <w:pPr>
      <w:pStyle w:val="Header"/>
    </w:pPr>
    <w:r>
      <w:rPr>
        <w:noProof/>
      </w:rPr>
      <mc:AlternateContent>
        <mc:Choice Requires="wps">
          <w:drawing>
            <wp:anchor distT="0" distB="0" distL="0" distR="0" simplePos="0" relativeHeight="251658240" behindDoc="0" locked="0" layoutInCell="1" allowOverlap="1" wp14:anchorId="01A5EC15" wp14:editId="4E513F6B">
              <wp:simplePos x="635" y="635"/>
              <wp:positionH relativeFrom="page">
                <wp:align>left</wp:align>
              </wp:positionH>
              <wp:positionV relativeFrom="page">
                <wp:align>top</wp:align>
              </wp:positionV>
              <wp:extent cx="443865" cy="443865"/>
              <wp:effectExtent l="0" t="0" r="2540" b="8890"/>
              <wp:wrapNone/>
              <wp:docPr id="1160256862"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2B6401" w14:textId="3EA86C2E" w:rsidR="0034034A" w:rsidRPr="0034034A" w:rsidRDefault="0034034A" w:rsidP="0034034A">
                          <w:pPr>
                            <w:rPr>
                              <w:rFonts w:ascii="Arial" w:eastAsia="Arial" w:hAnsi="Arial" w:cs="Arial"/>
                              <w:noProof/>
                              <w:szCs w:val="24"/>
                            </w:rPr>
                          </w:pPr>
                          <w:r w:rsidRPr="0034034A">
                            <w:rPr>
                              <w:rFonts w:ascii="Arial" w:eastAsia="Arial" w:hAnsi="Arial" w:cs="Arial"/>
                              <w:noProof/>
                              <w:szCs w:val="24"/>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A5EC15" id="_x0000_t202" coordsize="21600,21600" o:spt="202" path="m,l,21600r21600,l21600,xe">
              <v:stroke joinstyle="miter"/>
              <v:path gradientshapeok="t" o:connecttype="rect"/>
            </v:shapetype>
            <v:shape id="Text Box 1" o:spid="_x0000_s1028" type="#_x0000_t202" alt="OFFICIAL:SENSITIVE"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7F2B6401" w14:textId="3EA86C2E" w:rsidR="0034034A" w:rsidRPr="0034034A" w:rsidRDefault="0034034A" w:rsidP="0034034A">
                    <w:pPr>
                      <w:rPr>
                        <w:rFonts w:ascii="Arial" w:eastAsia="Arial" w:hAnsi="Arial" w:cs="Arial"/>
                        <w:noProof/>
                        <w:szCs w:val="24"/>
                      </w:rPr>
                    </w:pPr>
                    <w:r w:rsidRPr="0034034A">
                      <w:rPr>
                        <w:rFonts w:ascii="Arial" w:eastAsia="Arial" w:hAnsi="Arial" w:cs="Arial"/>
                        <w:noProof/>
                        <w:szCs w:val="24"/>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0D4066"/>
    <w:multiLevelType w:val="hybridMultilevel"/>
    <w:tmpl w:val="9C20E6E0"/>
    <w:lvl w:ilvl="0" w:tplc="CB589C68">
      <w:start w:val="1"/>
      <w:numFmt w:val="bullet"/>
      <w:lvlText w:val=""/>
      <w:lvlJc w:val="left"/>
      <w:pPr>
        <w:ind w:left="1740"/>
      </w:pPr>
      <w:rPr>
        <w:rFonts w:ascii="Wingdings" w:eastAsia="Wingdings" w:hAnsi="Wingdings" w:cs="Wingdings"/>
        <w:b w:val="0"/>
        <w:i w:val="0"/>
        <w:strike w:val="0"/>
        <w:dstrike w:val="0"/>
        <w:color w:val="692989"/>
        <w:sz w:val="24"/>
        <w:szCs w:val="24"/>
        <w:u w:val="none" w:color="000000"/>
        <w:bdr w:val="none" w:sz="0" w:space="0" w:color="auto"/>
        <w:shd w:val="clear" w:color="auto" w:fill="auto"/>
        <w:vertAlign w:val="baseline"/>
      </w:rPr>
    </w:lvl>
    <w:lvl w:ilvl="1" w:tplc="AE80D868">
      <w:start w:val="1"/>
      <w:numFmt w:val="bullet"/>
      <w:lvlText w:val="o"/>
      <w:lvlJc w:val="left"/>
      <w:pPr>
        <w:ind w:left="2475"/>
      </w:pPr>
      <w:rPr>
        <w:rFonts w:ascii="Wingdings" w:eastAsia="Wingdings" w:hAnsi="Wingdings" w:cs="Wingdings"/>
        <w:b w:val="0"/>
        <w:i w:val="0"/>
        <w:strike w:val="0"/>
        <w:dstrike w:val="0"/>
        <w:color w:val="692989"/>
        <w:sz w:val="24"/>
        <w:szCs w:val="24"/>
        <w:u w:val="none" w:color="000000"/>
        <w:bdr w:val="none" w:sz="0" w:space="0" w:color="auto"/>
        <w:shd w:val="clear" w:color="auto" w:fill="auto"/>
        <w:vertAlign w:val="baseline"/>
      </w:rPr>
    </w:lvl>
    <w:lvl w:ilvl="2" w:tplc="B05EB4F4">
      <w:start w:val="1"/>
      <w:numFmt w:val="bullet"/>
      <w:lvlText w:val="▪"/>
      <w:lvlJc w:val="left"/>
      <w:pPr>
        <w:ind w:left="3195"/>
      </w:pPr>
      <w:rPr>
        <w:rFonts w:ascii="Wingdings" w:eastAsia="Wingdings" w:hAnsi="Wingdings" w:cs="Wingdings"/>
        <w:b w:val="0"/>
        <w:i w:val="0"/>
        <w:strike w:val="0"/>
        <w:dstrike w:val="0"/>
        <w:color w:val="692989"/>
        <w:sz w:val="24"/>
        <w:szCs w:val="24"/>
        <w:u w:val="none" w:color="000000"/>
        <w:bdr w:val="none" w:sz="0" w:space="0" w:color="auto"/>
        <w:shd w:val="clear" w:color="auto" w:fill="auto"/>
        <w:vertAlign w:val="baseline"/>
      </w:rPr>
    </w:lvl>
    <w:lvl w:ilvl="3" w:tplc="7F401D2A">
      <w:start w:val="1"/>
      <w:numFmt w:val="bullet"/>
      <w:lvlText w:val="•"/>
      <w:lvlJc w:val="left"/>
      <w:pPr>
        <w:ind w:left="3915"/>
      </w:pPr>
      <w:rPr>
        <w:rFonts w:ascii="Wingdings" w:eastAsia="Wingdings" w:hAnsi="Wingdings" w:cs="Wingdings"/>
        <w:b w:val="0"/>
        <w:i w:val="0"/>
        <w:strike w:val="0"/>
        <w:dstrike w:val="0"/>
        <w:color w:val="692989"/>
        <w:sz w:val="24"/>
        <w:szCs w:val="24"/>
        <w:u w:val="none" w:color="000000"/>
        <w:bdr w:val="none" w:sz="0" w:space="0" w:color="auto"/>
        <w:shd w:val="clear" w:color="auto" w:fill="auto"/>
        <w:vertAlign w:val="baseline"/>
      </w:rPr>
    </w:lvl>
    <w:lvl w:ilvl="4" w:tplc="3B56AB02">
      <w:start w:val="1"/>
      <w:numFmt w:val="bullet"/>
      <w:lvlText w:val="o"/>
      <w:lvlJc w:val="left"/>
      <w:pPr>
        <w:ind w:left="4635"/>
      </w:pPr>
      <w:rPr>
        <w:rFonts w:ascii="Wingdings" w:eastAsia="Wingdings" w:hAnsi="Wingdings" w:cs="Wingdings"/>
        <w:b w:val="0"/>
        <w:i w:val="0"/>
        <w:strike w:val="0"/>
        <w:dstrike w:val="0"/>
        <w:color w:val="692989"/>
        <w:sz w:val="24"/>
        <w:szCs w:val="24"/>
        <w:u w:val="none" w:color="000000"/>
        <w:bdr w:val="none" w:sz="0" w:space="0" w:color="auto"/>
        <w:shd w:val="clear" w:color="auto" w:fill="auto"/>
        <w:vertAlign w:val="baseline"/>
      </w:rPr>
    </w:lvl>
    <w:lvl w:ilvl="5" w:tplc="108E9140">
      <w:start w:val="1"/>
      <w:numFmt w:val="bullet"/>
      <w:lvlText w:val="▪"/>
      <w:lvlJc w:val="left"/>
      <w:pPr>
        <w:ind w:left="5355"/>
      </w:pPr>
      <w:rPr>
        <w:rFonts w:ascii="Wingdings" w:eastAsia="Wingdings" w:hAnsi="Wingdings" w:cs="Wingdings"/>
        <w:b w:val="0"/>
        <w:i w:val="0"/>
        <w:strike w:val="0"/>
        <w:dstrike w:val="0"/>
        <w:color w:val="692989"/>
        <w:sz w:val="24"/>
        <w:szCs w:val="24"/>
        <w:u w:val="none" w:color="000000"/>
        <w:bdr w:val="none" w:sz="0" w:space="0" w:color="auto"/>
        <w:shd w:val="clear" w:color="auto" w:fill="auto"/>
        <w:vertAlign w:val="baseline"/>
      </w:rPr>
    </w:lvl>
    <w:lvl w:ilvl="6" w:tplc="D55CA62E">
      <w:start w:val="1"/>
      <w:numFmt w:val="bullet"/>
      <w:lvlText w:val="•"/>
      <w:lvlJc w:val="left"/>
      <w:pPr>
        <w:ind w:left="6075"/>
      </w:pPr>
      <w:rPr>
        <w:rFonts w:ascii="Wingdings" w:eastAsia="Wingdings" w:hAnsi="Wingdings" w:cs="Wingdings"/>
        <w:b w:val="0"/>
        <w:i w:val="0"/>
        <w:strike w:val="0"/>
        <w:dstrike w:val="0"/>
        <w:color w:val="692989"/>
        <w:sz w:val="24"/>
        <w:szCs w:val="24"/>
        <w:u w:val="none" w:color="000000"/>
        <w:bdr w:val="none" w:sz="0" w:space="0" w:color="auto"/>
        <w:shd w:val="clear" w:color="auto" w:fill="auto"/>
        <w:vertAlign w:val="baseline"/>
      </w:rPr>
    </w:lvl>
    <w:lvl w:ilvl="7" w:tplc="CCA676E4">
      <w:start w:val="1"/>
      <w:numFmt w:val="bullet"/>
      <w:lvlText w:val="o"/>
      <w:lvlJc w:val="left"/>
      <w:pPr>
        <w:ind w:left="6795"/>
      </w:pPr>
      <w:rPr>
        <w:rFonts w:ascii="Wingdings" w:eastAsia="Wingdings" w:hAnsi="Wingdings" w:cs="Wingdings"/>
        <w:b w:val="0"/>
        <w:i w:val="0"/>
        <w:strike w:val="0"/>
        <w:dstrike w:val="0"/>
        <w:color w:val="692989"/>
        <w:sz w:val="24"/>
        <w:szCs w:val="24"/>
        <w:u w:val="none" w:color="000000"/>
        <w:bdr w:val="none" w:sz="0" w:space="0" w:color="auto"/>
        <w:shd w:val="clear" w:color="auto" w:fill="auto"/>
        <w:vertAlign w:val="baseline"/>
      </w:rPr>
    </w:lvl>
    <w:lvl w:ilvl="8" w:tplc="74DECAD2">
      <w:start w:val="1"/>
      <w:numFmt w:val="bullet"/>
      <w:lvlText w:val="▪"/>
      <w:lvlJc w:val="left"/>
      <w:pPr>
        <w:ind w:left="7515"/>
      </w:pPr>
      <w:rPr>
        <w:rFonts w:ascii="Wingdings" w:eastAsia="Wingdings" w:hAnsi="Wingdings" w:cs="Wingdings"/>
        <w:b w:val="0"/>
        <w:i w:val="0"/>
        <w:strike w:val="0"/>
        <w:dstrike w:val="0"/>
        <w:color w:val="692989"/>
        <w:sz w:val="24"/>
        <w:szCs w:val="24"/>
        <w:u w:val="none" w:color="000000"/>
        <w:bdr w:val="none" w:sz="0" w:space="0" w:color="auto"/>
        <w:shd w:val="clear" w:color="auto" w:fill="auto"/>
        <w:vertAlign w:val="baseline"/>
      </w:rPr>
    </w:lvl>
  </w:abstractNum>
  <w:num w:numId="1" w16cid:durableId="1264221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0FB"/>
    <w:rsid w:val="000221B9"/>
    <w:rsid w:val="0034034A"/>
    <w:rsid w:val="003A7D56"/>
    <w:rsid w:val="00863AB1"/>
    <w:rsid w:val="00933625"/>
    <w:rsid w:val="00B070FB"/>
    <w:rsid w:val="00CA60E9"/>
    <w:rsid w:val="00EC4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35712"/>
  <w15:docId w15:val="{BC351957-7EC0-41E5-B571-5EF4B6E9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765" w:hanging="370"/>
    </w:pPr>
    <w:rPr>
      <w:rFonts w:ascii="Gill Sans MT" w:eastAsia="Gill Sans MT" w:hAnsi="Gill Sans MT" w:cs="Gill Sans MT"/>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34A"/>
    <w:pPr>
      <w:tabs>
        <w:tab w:val="center" w:pos="4513"/>
        <w:tab w:val="right" w:pos="9026"/>
      </w:tabs>
      <w:spacing w:line="240" w:lineRule="auto"/>
    </w:pPr>
  </w:style>
  <w:style w:type="character" w:customStyle="1" w:styleId="HeaderChar">
    <w:name w:val="Header Char"/>
    <w:basedOn w:val="DefaultParagraphFont"/>
    <w:link w:val="Header"/>
    <w:uiPriority w:val="99"/>
    <w:rsid w:val="0034034A"/>
    <w:rPr>
      <w:rFonts w:ascii="Gill Sans MT" w:eastAsia="Gill Sans MT" w:hAnsi="Gill Sans MT" w:cs="Gill Sans MT"/>
      <w:color w:val="000000"/>
      <w:sz w:val="24"/>
    </w:rPr>
  </w:style>
  <w:style w:type="paragraph" w:styleId="Footer">
    <w:name w:val="footer"/>
    <w:basedOn w:val="Normal"/>
    <w:link w:val="FooterChar"/>
    <w:uiPriority w:val="99"/>
    <w:unhideWhenUsed/>
    <w:rsid w:val="0034034A"/>
    <w:pPr>
      <w:tabs>
        <w:tab w:val="center" w:pos="4513"/>
        <w:tab w:val="right" w:pos="9026"/>
      </w:tabs>
      <w:spacing w:line="240" w:lineRule="auto"/>
    </w:pPr>
  </w:style>
  <w:style w:type="character" w:customStyle="1" w:styleId="FooterChar">
    <w:name w:val="Footer Char"/>
    <w:basedOn w:val="DefaultParagraphFont"/>
    <w:link w:val="Footer"/>
    <w:uiPriority w:val="99"/>
    <w:rsid w:val="0034034A"/>
    <w:rPr>
      <w:rFonts w:ascii="Gill Sans MT" w:eastAsia="Gill Sans MT" w:hAnsi="Gill Sans MT" w:cs="Gill Sans MT"/>
      <w:color w:val="000000"/>
      <w:sz w:val="24"/>
    </w:rPr>
  </w:style>
  <w:style w:type="paragraph" w:styleId="ListParagraph">
    <w:name w:val="List Paragraph"/>
    <w:basedOn w:val="Normal"/>
    <w:uiPriority w:val="34"/>
    <w:qFormat/>
    <w:rsid w:val="00340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1293</Characters>
  <Application>Microsoft Office Word</Application>
  <DocSecurity>0</DocSecurity>
  <Lines>10</Lines>
  <Paragraphs>3</Paragraphs>
  <ScaleCrop>false</ScaleCrop>
  <Company>Delt Shared Services Ltd</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Gooding, Sarah</dc:creator>
  <cp:keywords/>
  <cp:lastModifiedBy>Sarah Gooding</cp:lastModifiedBy>
  <cp:revision>3</cp:revision>
  <dcterms:created xsi:type="dcterms:W3CDTF">2024-12-10T10:03:00Z</dcterms:created>
  <dcterms:modified xsi:type="dcterms:W3CDTF">2024-12-10T10:04:00Z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45281d5e,498c9d94,214afdfd</vt:lpwstr>
  </property>
  <property fmtid="{D5CDD505-2E9C-101B-9397-08002B2CF9AE}" pid="3" name="ClassificationContentMarkingHeaderFontProps">
    <vt:lpwstr>#000000,12,Arial</vt:lpwstr>
  </property>
  <property fmtid="{D5CDD505-2E9C-101B-9397-08002B2CF9AE}" pid="4" name="ClassificationContentMarkingHeaderText">
    <vt:lpwstr>OFFICIAL:SENSITIVE</vt:lpwstr>
  </property>
  <property fmtid="{D5CDD505-2E9C-101B-9397-08002B2CF9AE}" pid="5" name="MSIP_Label_d57318c2-6b86-43df-b189-c92fcad1cee5_Enabled">
    <vt:lpwstr>true</vt:lpwstr>
  </property>
  <property fmtid="{D5CDD505-2E9C-101B-9397-08002B2CF9AE}" pid="6" name="MSIP_Label_d57318c2-6b86-43df-b189-c92fcad1cee5_SetDate">
    <vt:lpwstr>2023-12-18T09:16:59Z</vt:lpwstr>
  </property>
  <property fmtid="{D5CDD505-2E9C-101B-9397-08002B2CF9AE}" pid="7" name="MSIP_Label_d57318c2-6b86-43df-b189-c92fcad1cee5_Method">
    <vt:lpwstr>Privileged</vt:lpwstr>
  </property>
  <property fmtid="{D5CDD505-2E9C-101B-9397-08002B2CF9AE}" pid="8" name="MSIP_Label_d57318c2-6b86-43df-b189-c92fcad1cee5_Name">
    <vt:lpwstr>d57318c2-6b86-43df-b189-c92fcad1cee5</vt:lpwstr>
  </property>
  <property fmtid="{D5CDD505-2E9C-101B-9397-08002B2CF9AE}" pid="9" name="MSIP_Label_d57318c2-6b86-43df-b189-c92fcad1cee5_SiteId">
    <vt:lpwstr>a9a3c3d1-fc0f-4943-bc2a-d73e388cc2df</vt:lpwstr>
  </property>
  <property fmtid="{D5CDD505-2E9C-101B-9397-08002B2CF9AE}" pid="10" name="MSIP_Label_d57318c2-6b86-43df-b189-c92fcad1cee5_ActionId">
    <vt:lpwstr>46ba58ba-5d09-4099-9fcd-76ed0754b2ce</vt:lpwstr>
  </property>
  <property fmtid="{D5CDD505-2E9C-101B-9397-08002B2CF9AE}" pid="11" name="MSIP_Label_d57318c2-6b86-43df-b189-c92fcad1cee5_ContentBits">
    <vt:lpwstr>1</vt:lpwstr>
  </property>
</Properties>
</file>